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Category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Shelter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Food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Cook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rimary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lternate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ontingency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mergency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Category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Heat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Sanitation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Electricity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Communications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rimary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lternate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ontingency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mergency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Category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Hygiene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Laundry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Light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Medical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rimary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lternate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ontingency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mergency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Category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Fire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Fire Escape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Money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Transportation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rimary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lternate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ontingency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mergency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Category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Physical Fitness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Data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Data Processing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rimary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lternate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ontingency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mergency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Category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rimary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lternate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ontingency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mergency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Category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rimary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lternate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ontingency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mergency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C">
      <w:pPr>
        <w:rPr>
          <w:u w:val="singl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E">
    <w:pPr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3838575</wp:posOffset>
          </wp:positionH>
          <wp:positionV relativeFrom="paragraph">
            <wp:posOffset>-85724</wp:posOffset>
          </wp:positionV>
          <wp:extent cx="2100263" cy="350044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00263" cy="350044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D">
    <w:pPr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rtl w:val="0"/>
      </w:rPr>
      <w:t xml:space="preserve">COVID-19 Family PACE Plan - Template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